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2363.xml.htm"/>
      <w:bookmarkStart w:id="1" w:name="kswkform4_17895023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STREICH JULIE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W. 78TH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vest over a three-year vesting period with 1/3 of the shares vesting on 9/11/2027, 9/11/2028 and 9/11/2029.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 Attorney-in-Fact for Julie K. Streich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511" TargetMode="External"/><Relationship Id="rId5" Type="http://schemas.openxmlformats.org/officeDocument/2006/relationships/hyperlink" Target="http://www.sec.gov/cgi-bin/browse-edgar?action=getcompany&amp;CIK=00000068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3181</Characters>
  <CharactersWithSpaces>3699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