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176.xml.htm"/>
      <w:bookmarkStart w:id="1" w:name="kswkform4_17909721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Alvord Christina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WEST 78TH STREET,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ENTERPRISES, INC.</w:t>
              </w:r>
            </w:hyperlink>
            <w:r>
              <w:rPr/>
              <w:t xml:space="preserve"> [ </w:t>
            </w:r>
            <w:r>
              <w:rPr>
                <w:rFonts w:ascii="Times;serif" w:hAnsi="Times;serif"/>
                <w:color w:val="0000FF"/>
                <w:sz w:val="24"/>
                <w:shd w:fill="FFFFFF" w:val="clear"/>
              </w:rPr>
              <w:t>APOG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Deferrred 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13,444</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restricted stock units were awarded under the 2019 Non-Employee Director Stock Plan. The deferred restricted stock units will be settled in shares of common stock following the director's termination from the Board in accordance with the election of the reporting person or following the occurrence of other events specified in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Settled 1-for-1.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Additional deferred restricted stock units acquired pursuant to a dividend equivalent reinvestment feature of the 2019 Non-Employee Director Stock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/s/Bryan A. Welp, Attorney-in-Fact for Christina M. Alvord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983" TargetMode="External"/><Relationship Id="rId5" Type="http://schemas.openxmlformats.org/officeDocument/2006/relationships/hyperlink" Target="http://www.sec.gov/cgi-bin/browse-edgar?action=getcompany&amp;CIK=00000068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3612</Characters>
  <CharactersWithSpaces>4195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